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6E9C" w:rsidRDefault="00000000">
      <w:pPr>
        <w:spacing w:line="360" w:lineRule="auto"/>
        <w:jc w:val="center"/>
        <w:rPr>
          <w:b/>
          <w:sz w:val="32"/>
          <w:szCs w:val="32"/>
        </w:rPr>
      </w:pPr>
      <w:r>
        <w:rPr>
          <w:rFonts w:hint="eastAsia"/>
          <w:b/>
          <w:sz w:val="44"/>
          <w:szCs w:val="44"/>
        </w:rPr>
        <w:t>银纳米颗粒</w:t>
      </w:r>
      <w:r>
        <w:rPr>
          <w:rFonts w:hint="eastAsia"/>
          <w:b/>
          <w:sz w:val="44"/>
          <w:szCs w:val="44"/>
        </w:rPr>
        <w:t>-</w:t>
      </w:r>
      <w:r>
        <w:rPr>
          <w:rFonts w:hint="eastAsia"/>
          <w:b/>
          <w:sz w:val="44"/>
          <w:szCs w:val="44"/>
        </w:rPr>
        <w:t>石墨烯纳米复合界面修饰于微纳光纤用于实时监测细胞释放的细胞色素</w:t>
      </w:r>
      <w:r>
        <w:rPr>
          <w:rFonts w:hint="eastAsia"/>
          <w:b/>
          <w:sz w:val="44"/>
          <w:szCs w:val="44"/>
        </w:rPr>
        <w:t>C</w:t>
      </w:r>
    </w:p>
    <w:p w:rsidR="00CB6E9C" w:rsidRDefault="004B270F">
      <w:pPr>
        <w:pStyle w:val="CAuthor"/>
        <w:spacing w:beforeLines="0" w:afterLines="0" w:line="360" w:lineRule="auto"/>
        <w:rPr>
          <w:rFonts w:ascii="Times New Roman" w:eastAsia="宋体"/>
          <w:b/>
          <w:sz w:val="21"/>
          <w:szCs w:val="21"/>
        </w:rPr>
      </w:pPr>
      <w:r>
        <w:rPr>
          <w:rFonts w:ascii="Times New Roman" w:eastAsia="宋体" w:hAnsi="宋体" w:hint="eastAsia"/>
          <w:b/>
          <w:sz w:val="21"/>
          <w:szCs w:val="21"/>
        </w:rPr>
        <w:t>作者</w:t>
      </w:r>
      <w:r w:rsidR="00000000">
        <w:rPr>
          <w:rFonts w:ascii="Times New Roman" w:eastAsia="宋体" w:hint="eastAsia"/>
          <w:b/>
          <w:sz w:val="21"/>
          <w:szCs w:val="21"/>
        </w:rPr>
        <w:t xml:space="preserve"> </w:t>
      </w:r>
    </w:p>
    <w:p w:rsidR="00CB6E9C" w:rsidRDefault="00000000">
      <w:pPr>
        <w:spacing w:line="360" w:lineRule="auto"/>
        <w:jc w:val="center"/>
        <w:rPr>
          <w:sz w:val="18"/>
          <w:szCs w:val="16"/>
        </w:rPr>
      </w:pPr>
      <w:r>
        <w:rPr>
          <w:sz w:val="18"/>
          <w:szCs w:val="16"/>
        </w:rPr>
        <w:t>(</w:t>
      </w:r>
      <w:r w:rsidR="004B270F">
        <w:rPr>
          <w:rFonts w:hint="eastAsia"/>
          <w:sz w:val="18"/>
          <w:szCs w:val="16"/>
        </w:rPr>
        <w:t>作者单位、单位地址</w:t>
      </w:r>
      <w:r>
        <w:rPr>
          <w:rFonts w:hint="eastAsia"/>
          <w:sz w:val="18"/>
          <w:szCs w:val="16"/>
        </w:rPr>
        <w:t>)</w:t>
      </w:r>
    </w:p>
    <w:p w:rsidR="00CB6E9C" w:rsidRDefault="00000000">
      <w:pPr>
        <w:spacing w:line="300" w:lineRule="exact"/>
        <w:ind w:firstLineChars="200" w:firstLine="480"/>
        <w:rPr>
          <w:rFonts w:ascii="Times New Roman" w:eastAsia="宋体"/>
          <w:sz w:val="24"/>
          <w:szCs w:val="24"/>
        </w:rPr>
      </w:pPr>
      <w:r>
        <w:rPr>
          <w:rFonts w:ascii="Times New Roman" w:eastAsia="宋体" w:hint="eastAsia"/>
          <w:sz w:val="24"/>
          <w:szCs w:val="24"/>
        </w:rPr>
        <w:t>摘要：细胞色素</w:t>
      </w:r>
      <w:r>
        <w:rPr>
          <w:rFonts w:ascii="Times New Roman" w:eastAsia="宋体" w:hint="eastAsia"/>
          <w:sz w:val="24"/>
          <w:szCs w:val="24"/>
        </w:rPr>
        <w:t>C</w:t>
      </w:r>
      <w:r>
        <w:rPr>
          <w:rFonts w:ascii="Times New Roman" w:eastAsia="宋体" w:hint="eastAsia"/>
          <w:sz w:val="24"/>
          <w:szCs w:val="24"/>
        </w:rPr>
        <w:t>是一种多功能的蛋白酶，它是从细胞线粒体释放的，它的释放是细胞进行早期程序性凋亡的一种重要信号，因此在不侵害细胞的前提下对此过程进行监测有利于在细胞层面上对于特定疾病有着更深入的了解</w:t>
      </w:r>
      <w:r>
        <w:rPr>
          <w:rFonts w:ascii="Times New Roman" w:eastAsia="宋体" w:hint="eastAsia"/>
          <w:sz w:val="24"/>
          <w:szCs w:val="24"/>
          <w:vertAlign w:val="superscript"/>
        </w:rPr>
        <w:t>1</w:t>
      </w:r>
      <w:r>
        <w:rPr>
          <w:rFonts w:ascii="Times New Roman" w:eastAsia="宋体" w:hint="eastAsia"/>
          <w:sz w:val="24"/>
          <w:szCs w:val="24"/>
        </w:rPr>
        <w:t>。然而监测此过程需要生物传感器具有非常高的灵敏度以及比较小的尺寸。由于微纳米光学光纤具有较强的倏逝场以及较细的尺寸</w:t>
      </w:r>
      <w:r>
        <w:rPr>
          <w:rFonts w:ascii="Times New Roman" w:eastAsia="宋体" w:hint="eastAsia"/>
          <w:sz w:val="24"/>
          <w:szCs w:val="24"/>
          <w:vertAlign w:val="superscript"/>
        </w:rPr>
        <w:t>2</w:t>
      </w:r>
      <w:r>
        <w:rPr>
          <w:rFonts w:ascii="Times New Roman" w:eastAsia="宋体" w:hint="eastAsia"/>
          <w:sz w:val="24"/>
          <w:szCs w:val="24"/>
        </w:rPr>
        <w:t>。基于此，我们提出了一种修饰着银纳米颗粒和石墨烯纳米复合界面的微纳光纤生物传感器。</w:t>
      </w:r>
      <w:r>
        <w:rPr>
          <w:rFonts w:ascii="Times New Roman" w:eastAsia="宋体" w:hint="eastAsia"/>
          <w:sz w:val="24"/>
          <w:szCs w:val="24"/>
        </w:rPr>
        <w:t xml:space="preserve"> </w:t>
      </w:r>
      <w:r>
        <w:rPr>
          <w:rFonts w:ascii="Times New Roman" w:eastAsia="宋体" w:hint="eastAsia"/>
          <w:sz w:val="24"/>
          <w:szCs w:val="24"/>
        </w:rPr>
        <w:t>通过联合微纳光纤的倏逝场与银纳米颗粒的等离子电磁增强耦合效应以及石墨烯良好的化学增强作用，我们利用时域有限差分法可以从理论上计算出此光纤表面的能量密度相比较于未修饰的界面能够实现大幅度增强，而且从原位测量的实验结果可得出此传感器在探测细胞色素</w:t>
      </w:r>
      <w:r>
        <w:rPr>
          <w:rFonts w:ascii="Times New Roman" w:eastAsia="宋体" w:hint="eastAsia"/>
          <w:sz w:val="24"/>
          <w:szCs w:val="24"/>
        </w:rPr>
        <w:t>C</w:t>
      </w:r>
      <w:r>
        <w:rPr>
          <w:rFonts w:ascii="Times New Roman" w:eastAsia="宋体" w:hint="eastAsia"/>
          <w:sz w:val="24"/>
          <w:szCs w:val="24"/>
        </w:rPr>
        <w:t>溶液时的检测限能够达到</w:t>
      </w:r>
      <w:r>
        <w:rPr>
          <w:rFonts w:ascii="Times New Roman" w:eastAsia="宋体" w:hint="eastAsia"/>
          <w:sz w:val="24"/>
          <w:szCs w:val="24"/>
        </w:rPr>
        <w:t>6.82</w:t>
      </w:r>
      <w:r>
        <w:rPr>
          <w:rFonts w:ascii="Arial" w:eastAsia="宋体" w:hAnsi="Arial" w:cs="Arial"/>
          <w:sz w:val="24"/>
          <w:szCs w:val="24"/>
        </w:rPr>
        <w:t>×</w:t>
      </w:r>
      <w:r>
        <w:rPr>
          <w:rFonts w:ascii="Times New Roman" w:eastAsia="宋体" w:hint="eastAsia"/>
          <w:sz w:val="24"/>
          <w:szCs w:val="24"/>
        </w:rPr>
        <w:t>10</w:t>
      </w:r>
      <w:r>
        <w:rPr>
          <w:rFonts w:ascii="Times New Roman" w:eastAsia="宋体" w:hint="eastAsia"/>
          <w:sz w:val="24"/>
          <w:szCs w:val="24"/>
          <w:vertAlign w:val="superscript"/>
        </w:rPr>
        <w:t>-17</w:t>
      </w:r>
      <w:r>
        <w:rPr>
          <w:rFonts w:ascii="Times New Roman" w:eastAsia="宋体" w:hint="eastAsia"/>
          <w:sz w:val="24"/>
          <w:szCs w:val="24"/>
        </w:rPr>
        <w:t xml:space="preserve"> mol/L</w:t>
      </w:r>
      <w:r>
        <w:rPr>
          <w:rFonts w:ascii="Times New Roman" w:eastAsia="宋体" w:hint="eastAsia"/>
          <w:sz w:val="24"/>
          <w:szCs w:val="24"/>
        </w:rPr>
        <w:t>，此检测结果高于所有探测方法</w:t>
      </w:r>
      <w:r>
        <w:rPr>
          <w:rFonts w:ascii="Times New Roman" w:eastAsia="宋体" w:hint="eastAsia"/>
          <w:sz w:val="24"/>
          <w:szCs w:val="24"/>
        </w:rPr>
        <w:t>5</w:t>
      </w:r>
      <w:r>
        <w:rPr>
          <w:rFonts w:ascii="Times New Roman" w:eastAsia="宋体" w:hint="eastAsia"/>
          <w:sz w:val="24"/>
          <w:szCs w:val="24"/>
        </w:rPr>
        <w:t>个数量级左右。此外，此类生物传感器具有较优异的特异性，在复杂的环境下不但能够特异性检测出目标物，而且还能够对目标物的测量保持较低的检测限（</w:t>
      </w:r>
      <w:r>
        <w:rPr>
          <w:rFonts w:ascii="Times New Roman" w:eastAsia="宋体" w:hint="eastAsia"/>
          <w:sz w:val="24"/>
          <w:szCs w:val="24"/>
        </w:rPr>
        <w:t>4.54</w:t>
      </w:r>
      <w:r>
        <w:rPr>
          <w:rFonts w:ascii="Arial" w:eastAsia="宋体" w:hAnsi="Arial" w:cs="Arial"/>
          <w:sz w:val="24"/>
          <w:szCs w:val="24"/>
        </w:rPr>
        <w:t>×</w:t>
      </w:r>
      <w:r>
        <w:rPr>
          <w:rFonts w:ascii="Times New Roman" w:eastAsia="宋体" w:hint="eastAsia"/>
          <w:sz w:val="24"/>
          <w:szCs w:val="24"/>
        </w:rPr>
        <w:t>10</w:t>
      </w:r>
      <w:r>
        <w:rPr>
          <w:rFonts w:ascii="Times New Roman" w:eastAsia="宋体" w:hint="eastAsia"/>
          <w:sz w:val="24"/>
          <w:szCs w:val="24"/>
          <w:vertAlign w:val="superscript"/>
        </w:rPr>
        <w:t>-15</w:t>
      </w:r>
      <w:r>
        <w:rPr>
          <w:rFonts w:ascii="Times New Roman" w:eastAsia="宋体" w:hint="eastAsia"/>
          <w:sz w:val="24"/>
          <w:szCs w:val="24"/>
        </w:rPr>
        <w:t xml:space="preserve"> mol/L</w:t>
      </w:r>
      <w:r>
        <w:rPr>
          <w:rFonts w:ascii="Times New Roman" w:eastAsia="宋体" w:hint="eastAsia"/>
          <w:sz w:val="24"/>
          <w:szCs w:val="24"/>
        </w:rPr>
        <w:t>），从而有利于原位应用以及细胞测量。更重要的是，此微纳光纤能够原位实时地探测在早期凋亡时期时细胞所释放的极低细胞色素</w:t>
      </w:r>
      <w:r>
        <w:rPr>
          <w:rFonts w:ascii="Times New Roman" w:eastAsia="宋体" w:hint="eastAsia"/>
          <w:sz w:val="24"/>
          <w:szCs w:val="24"/>
        </w:rPr>
        <w:t>C</w:t>
      </w:r>
      <w:r>
        <w:rPr>
          <w:rFonts w:ascii="Times New Roman" w:eastAsia="宋体" w:hint="eastAsia"/>
          <w:sz w:val="24"/>
          <w:szCs w:val="24"/>
        </w:rPr>
        <w:t>的浓度。因此，此种修饰着的银颗粒与石墨烯的纳米复合界面的微纳米光纤能够满足一些特异性的探测需求，进一步开拓了此类方法能够量化监测细胞层面上发生的一些生化反应。</w:t>
      </w:r>
    </w:p>
    <w:p w:rsidR="00CB6E9C" w:rsidRDefault="00CB6E9C">
      <w:pPr>
        <w:spacing w:line="360" w:lineRule="auto"/>
        <w:ind w:firstLineChars="200" w:firstLine="420"/>
        <w:jc w:val="center"/>
        <w:rPr>
          <w:rFonts w:ascii="楷体" w:eastAsia="楷体" w:hAnsi="楷体"/>
          <w:szCs w:val="21"/>
        </w:rPr>
      </w:pPr>
    </w:p>
    <w:p w:rsidR="00CB6E9C" w:rsidRDefault="00000000">
      <w:pPr>
        <w:spacing w:line="360" w:lineRule="auto"/>
        <w:jc w:val="center"/>
        <w:rPr>
          <w:rFonts w:ascii="Times New Roman" w:eastAsia="宋体"/>
          <w:b/>
          <w:szCs w:val="21"/>
        </w:rPr>
      </w:pPr>
      <w:r>
        <w:rPr>
          <w:rFonts w:ascii="Times New Roman" w:eastAsia="宋体" w:hint="eastAsia"/>
          <w:b/>
          <w:noProof/>
          <w:szCs w:val="21"/>
        </w:rPr>
        <w:drawing>
          <wp:inline distT="0" distB="0" distL="114300" distR="114300">
            <wp:extent cx="3890645" cy="962025"/>
            <wp:effectExtent l="0" t="0" r="14605" b="9525"/>
            <wp:docPr id="2" name="图片 2" descr="O3@4JTC_4H@5}H(JSXFM3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3@4JTC_4H@5}H(JSXFM33S"/>
                    <pic:cNvPicPr>
                      <a:picLocks noChangeAspect="1"/>
                    </pic:cNvPicPr>
                  </pic:nvPicPr>
                  <pic:blipFill>
                    <a:blip r:embed="rId5"/>
                    <a:stretch>
                      <a:fillRect/>
                    </a:stretch>
                  </pic:blipFill>
                  <pic:spPr>
                    <a:xfrm>
                      <a:off x="0" y="0"/>
                      <a:ext cx="3890645" cy="962025"/>
                    </a:xfrm>
                    <a:prstGeom prst="rect">
                      <a:avLst/>
                    </a:prstGeom>
                  </pic:spPr>
                </pic:pic>
              </a:graphicData>
            </a:graphic>
          </wp:inline>
        </w:drawing>
      </w:r>
    </w:p>
    <w:p w:rsidR="00CB6E9C" w:rsidRDefault="00000000">
      <w:pPr>
        <w:spacing w:line="300" w:lineRule="exact"/>
        <w:rPr>
          <w:rFonts w:ascii="Times New Roman" w:eastAsia="宋体"/>
          <w:bCs/>
          <w:szCs w:val="21"/>
        </w:rPr>
      </w:pPr>
      <w:r>
        <w:rPr>
          <w:rFonts w:ascii="Times New Roman" w:eastAsia="宋体" w:hint="eastAsia"/>
          <w:bCs/>
          <w:szCs w:val="21"/>
        </w:rPr>
        <w:t>图一：（</w:t>
      </w:r>
      <w:r>
        <w:rPr>
          <w:rFonts w:ascii="Times New Roman" w:eastAsia="宋体" w:hint="eastAsia"/>
          <w:bCs/>
          <w:szCs w:val="21"/>
        </w:rPr>
        <w:t>a</w:t>
      </w:r>
      <w:r>
        <w:rPr>
          <w:rFonts w:ascii="Times New Roman" w:eastAsia="宋体" w:hint="eastAsia"/>
          <w:bCs/>
          <w:szCs w:val="21"/>
        </w:rPr>
        <w:t>）微纳光纤修饰银纳米颗粒与石墨烯后探测细胞色素</w:t>
      </w:r>
      <w:r>
        <w:rPr>
          <w:rFonts w:ascii="Times New Roman" w:eastAsia="宋体" w:hint="eastAsia"/>
          <w:bCs/>
          <w:szCs w:val="21"/>
        </w:rPr>
        <w:t>C</w:t>
      </w:r>
      <w:r>
        <w:rPr>
          <w:rFonts w:ascii="Times New Roman" w:eastAsia="宋体" w:hint="eastAsia"/>
          <w:bCs/>
          <w:szCs w:val="21"/>
        </w:rPr>
        <w:t>的测试，（</w:t>
      </w:r>
      <w:r>
        <w:rPr>
          <w:rFonts w:ascii="Times New Roman" w:eastAsia="宋体" w:hint="eastAsia"/>
          <w:bCs/>
          <w:szCs w:val="21"/>
        </w:rPr>
        <w:t>b</w:t>
      </w:r>
      <w:r>
        <w:rPr>
          <w:rFonts w:ascii="Times New Roman" w:eastAsia="宋体" w:hint="eastAsia"/>
          <w:bCs/>
          <w:szCs w:val="21"/>
        </w:rPr>
        <w:t>）微纳光纤只修饰石墨烯探测细胞色素</w:t>
      </w:r>
      <w:r>
        <w:rPr>
          <w:rFonts w:ascii="Times New Roman" w:eastAsia="宋体" w:hint="eastAsia"/>
          <w:bCs/>
          <w:szCs w:val="21"/>
        </w:rPr>
        <w:t>C</w:t>
      </w:r>
      <w:r>
        <w:rPr>
          <w:rFonts w:ascii="Times New Roman" w:eastAsia="宋体" w:hint="eastAsia"/>
          <w:bCs/>
          <w:szCs w:val="21"/>
        </w:rPr>
        <w:t>的对比实验，（</w:t>
      </w:r>
      <w:r>
        <w:rPr>
          <w:rFonts w:ascii="Times New Roman" w:eastAsia="宋体" w:hint="eastAsia"/>
          <w:bCs/>
          <w:szCs w:val="21"/>
        </w:rPr>
        <w:t>c</w:t>
      </w:r>
      <w:r>
        <w:rPr>
          <w:rFonts w:ascii="Times New Roman" w:eastAsia="宋体" w:hint="eastAsia"/>
          <w:bCs/>
          <w:szCs w:val="21"/>
        </w:rPr>
        <w:t>）裸的微纳光纤探测细胞色素</w:t>
      </w:r>
      <w:r>
        <w:rPr>
          <w:rFonts w:ascii="Times New Roman" w:eastAsia="宋体" w:hint="eastAsia"/>
          <w:bCs/>
          <w:szCs w:val="21"/>
        </w:rPr>
        <w:t>C</w:t>
      </w:r>
      <w:r>
        <w:rPr>
          <w:rFonts w:ascii="Times New Roman" w:eastAsia="宋体" w:hint="eastAsia"/>
          <w:bCs/>
          <w:szCs w:val="21"/>
        </w:rPr>
        <w:t>的测量。</w:t>
      </w:r>
    </w:p>
    <w:p w:rsidR="00CB6E9C" w:rsidRDefault="00000000">
      <w:pPr>
        <w:spacing w:line="300" w:lineRule="exact"/>
        <w:rPr>
          <w:rFonts w:ascii="Times New Roman" w:eastAsia="宋体"/>
          <w:bCs/>
          <w:szCs w:val="21"/>
        </w:rPr>
      </w:pPr>
      <w:r>
        <w:rPr>
          <w:rFonts w:ascii="Times New Roman" w:eastAsia="宋体" w:hint="eastAsia"/>
          <w:bCs/>
          <w:szCs w:val="21"/>
        </w:rPr>
        <w:t>表一：说明通过图一的三种测试结果得出的检测限以及探测灵敏度。</w:t>
      </w:r>
    </w:p>
    <w:p w:rsidR="00CB6E9C" w:rsidRDefault="00000000">
      <w:pPr>
        <w:spacing w:line="360" w:lineRule="auto"/>
        <w:jc w:val="center"/>
        <w:rPr>
          <w:rFonts w:ascii="Times New Roman" w:eastAsia="宋体"/>
          <w:bCs/>
          <w:szCs w:val="21"/>
        </w:rPr>
      </w:pPr>
      <w:r>
        <w:rPr>
          <w:rFonts w:ascii="Times New Roman" w:eastAsia="宋体" w:hint="eastAsia"/>
          <w:bCs/>
          <w:noProof/>
          <w:szCs w:val="21"/>
        </w:rPr>
        <w:drawing>
          <wp:inline distT="0" distB="0" distL="114300" distR="114300">
            <wp:extent cx="5240655" cy="1671320"/>
            <wp:effectExtent l="0" t="0" r="17145" b="508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5240655" cy="1671320"/>
                    </a:xfrm>
                    <a:prstGeom prst="rect">
                      <a:avLst/>
                    </a:prstGeom>
                  </pic:spPr>
                </pic:pic>
              </a:graphicData>
            </a:graphic>
          </wp:inline>
        </w:drawing>
      </w:r>
    </w:p>
    <w:p w:rsidR="00CB6E9C" w:rsidRDefault="00000000">
      <w:pPr>
        <w:spacing w:line="300" w:lineRule="exact"/>
        <w:rPr>
          <w:rFonts w:ascii="Times New Roman" w:eastAsia="宋体" w:hAnsi="Times New Roman"/>
          <w:sz w:val="24"/>
          <w:szCs w:val="24"/>
        </w:rPr>
      </w:pPr>
      <w:r>
        <w:rPr>
          <w:rFonts w:ascii="Times New Roman" w:eastAsia="宋体" w:hint="eastAsia"/>
          <w:bCs/>
          <w:szCs w:val="21"/>
        </w:rPr>
        <w:t>图二：（</w:t>
      </w:r>
      <w:r>
        <w:rPr>
          <w:rFonts w:ascii="Times New Roman" w:eastAsia="宋体" w:hint="eastAsia"/>
          <w:bCs/>
          <w:szCs w:val="21"/>
        </w:rPr>
        <w:t>a</w:t>
      </w:r>
      <w:r>
        <w:rPr>
          <w:rFonts w:ascii="Times New Roman" w:eastAsia="宋体" w:hint="eastAsia"/>
          <w:bCs/>
          <w:szCs w:val="21"/>
        </w:rPr>
        <w:t>）光纤修饰银纳米颗粒与石墨烯测量单一浓度的</w:t>
      </w:r>
      <w:r>
        <w:rPr>
          <w:rFonts w:ascii="Times New Roman" w:eastAsia="宋体" w:hint="eastAsia"/>
          <w:bCs/>
          <w:szCs w:val="21"/>
        </w:rPr>
        <w:t>10</w:t>
      </w:r>
      <w:r>
        <w:rPr>
          <w:rFonts w:ascii="Times New Roman" w:eastAsia="宋体" w:hint="eastAsia"/>
          <w:bCs/>
          <w:szCs w:val="21"/>
          <w:vertAlign w:val="superscript"/>
        </w:rPr>
        <w:t>-9</w:t>
      </w:r>
      <w:r>
        <w:rPr>
          <w:rFonts w:ascii="Times New Roman" w:eastAsia="宋体" w:hint="eastAsia"/>
          <w:bCs/>
          <w:szCs w:val="21"/>
        </w:rPr>
        <w:t xml:space="preserve"> mol/L</w:t>
      </w:r>
      <w:r>
        <w:rPr>
          <w:rFonts w:ascii="Times New Roman" w:eastAsia="宋体" w:hint="eastAsia"/>
          <w:bCs/>
          <w:szCs w:val="21"/>
        </w:rPr>
        <w:t>的细胞色素</w:t>
      </w:r>
      <w:r>
        <w:rPr>
          <w:rFonts w:ascii="Times New Roman" w:eastAsia="宋体" w:hint="eastAsia"/>
          <w:bCs/>
          <w:szCs w:val="21"/>
        </w:rPr>
        <w:t>C</w:t>
      </w:r>
      <w:r>
        <w:rPr>
          <w:rFonts w:ascii="Times New Roman" w:eastAsia="宋体" w:hint="eastAsia"/>
          <w:bCs/>
          <w:szCs w:val="21"/>
        </w:rPr>
        <w:t>溶液和</w:t>
      </w:r>
      <w:r>
        <w:rPr>
          <w:rFonts w:ascii="Times New Roman" w:eastAsia="宋体" w:hint="eastAsia"/>
          <w:bCs/>
          <w:szCs w:val="21"/>
        </w:rPr>
        <w:t>10</w:t>
      </w:r>
      <w:r>
        <w:rPr>
          <w:rFonts w:ascii="Times New Roman" w:eastAsia="宋体" w:hint="eastAsia"/>
          <w:bCs/>
          <w:szCs w:val="21"/>
          <w:vertAlign w:val="superscript"/>
        </w:rPr>
        <w:t>-6</w:t>
      </w:r>
      <w:r>
        <w:rPr>
          <w:rFonts w:ascii="Times New Roman" w:eastAsia="宋体" w:hint="eastAsia"/>
          <w:bCs/>
          <w:szCs w:val="21"/>
        </w:rPr>
        <w:t xml:space="preserve"> mol/L</w:t>
      </w:r>
      <w:r>
        <w:rPr>
          <w:rFonts w:ascii="Times New Roman" w:eastAsia="宋体" w:hint="eastAsia"/>
          <w:bCs/>
          <w:szCs w:val="21"/>
        </w:rPr>
        <w:t>的其它干扰分子溶液，以及它们的混合液，（</w:t>
      </w:r>
      <w:r>
        <w:rPr>
          <w:rFonts w:ascii="Times New Roman" w:eastAsia="宋体" w:hint="eastAsia"/>
          <w:bCs/>
          <w:szCs w:val="21"/>
        </w:rPr>
        <w:t>b</w:t>
      </w:r>
      <w:r>
        <w:rPr>
          <w:rFonts w:ascii="Times New Roman" w:eastAsia="宋体" w:hint="eastAsia"/>
          <w:bCs/>
          <w:szCs w:val="21"/>
        </w:rPr>
        <w:t>）修饰增敏材料后的微纳光纤测量细胞色素</w:t>
      </w:r>
      <w:r>
        <w:rPr>
          <w:rFonts w:ascii="Times New Roman" w:eastAsia="宋体" w:hint="eastAsia"/>
          <w:bCs/>
          <w:szCs w:val="21"/>
        </w:rPr>
        <w:t>C</w:t>
      </w:r>
      <w:r>
        <w:rPr>
          <w:rFonts w:ascii="Times New Roman" w:eastAsia="宋体" w:hint="eastAsia"/>
          <w:bCs/>
          <w:szCs w:val="21"/>
        </w:rPr>
        <w:t>与葡萄糖混合液，（</w:t>
      </w:r>
      <w:r>
        <w:rPr>
          <w:rFonts w:ascii="Times New Roman" w:eastAsia="宋体" w:hint="eastAsia"/>
          <w:bCs/>
          <w:szCs w:val="21"/>
        </w:rPr>
        <w:t>c</w:t>
      </w:r>
      <w:r>
        <w:rPr>
          <w:rFonts w:ascii="Times New Roman" w:eastAsia="宋体" w:hint="eastAsia"/>
          <w:bCs/>
          <w:szCs w:val="21"/>
        </w:rPr>
        <w:t>）修饰增敏材料后的光纤实时监测凋亡细胞。</w:t>
      </w:r>
    </w:p>
    <w:sectPr w:rsidR="00CB6E9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default"/>
    <w:sig w:usb0="00000287" w:usb1="00000000" w:usb2="00000000" w:usb3="00000000" w:csb0="2000009F" w:csb1="DFD70000"/>
  </w:font>
  <w:font w:name="AdvOT9cb306be.B">
    <w:altName w:val="Arial"/>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EF2"/>
    <w:multiLevelType w:val="multilevel"/>
    <w:tmpl w:val="03017EF2"/>
    <w:lvl w:ilvl="0">
      <w:start w:val="1"/>
      <w:numFmt w:val="decimal"/>
      <w:pStyle w:val="13Reference"/>
      <w:suff w:val="space"/>
      <w:lvlText w:val="%1."/>
      <w:lvlJc w:val="left"/>
      <w:pPr>
        <w:ind w:left="360" w:hanging="216"/>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845659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UxOGMzMTljY2I0MTdhYTU4MWYwOWI4M2NiNGY5NjgifQ=="/>
  </w:docVars>
  <w:rsids>
    <w:rsidRoot w:val="005E0F8C"/>
    <w:rsid w:val="00131E76"/>
    <w:rsid w:val="0019388C"/>
    <w:rsid w:val="001C34CD"/>
    <w:rsid w:val="001F3840"/>
    <w:rsid w:val="002E482E"/>
    <w:rsid w:val="00367867"/>
    <w:rsid w:val="00370806"/>
    <w:rsid w:val="0045210C"/>
    <w:rsid w:val="004B270F"/>
    <w:rsid w:val="005B7C2D"/>
    <w:rsid w:val="005C4283"/>
    <w:rsid w:val="005E0F8C"/>
    <w:rsid w:val="00681FA5"/>
    <w:rsid w:val="006A108E"/>
    <w:rsid w:val="006E6F4D"/>
    <w:rsid w:val="00762A1E"/>
    <w:rsid w:val="00801A06"/>
    <w:rsid w:val="008D39B1"/>
    <w:rsid w:val="0095062B"/>
    <w:rsid w:val="00982B4A"/>
    <w:rsid w:val="00A4367B"/>
    <w:rsid w:val="00AC0BB9"/>
    <w:rsid w:val="00CB6E9C"/>
    <w:rsid w:val="00CE180F"/>
    <w:rsid w:val="00D56900"/>
    <w:rsid w:val="00DA0014"/>
    <w:rsid w:val="00E005CE"/>
    <w:rsid w:val="00F30A79"/>
    <w:rsid w:val="00F4454E"/>
    <w:rsid w:val="00FA4289"/>
    <w:rsid w:val="00FF3732"/>
    <w:rsid w:val="017643F5"/>
    <w:rsid w:val="03081FCC"/>
    <w:rsid w:val="07E01A62"/>
    <w:rsid w:val="0C6A42EC"/>
    <w:rsid w:val="0F49680B"/>
    <w:rsid w:val="11BC1FA4"/>
    <w:rsid w:val="16D4669D"/>
    <w:rsid w:val="173E4256"/>
    <w:rsid w:val="1B3778B9"/>
    <w:rsid w:val="1CF37623"/>
    <w:rsid w:val="1DBC21BA"/>
    <w:rsid w:val="1DF44C5C"/>
    <w:rsid w:val="25C4662A"/>
    <w:rsid w:val="2972238C"/>
    <w:rsid w:val="303C6FD2"/>
    <w:rsid w:val="33623F61"/>
    <w:rsid w:val="34FF525C"/>
    <w:rsid w:val="386F6E17"/>
    <w:rsid w:val="39BA6C3F"/>
    <w:rsid w:val="3EED52CE"/>
    <w:rsid w:val="41F14134"/>
    <w:rsid w:val="42CD3D31"/>
    <w:rsid w:val="435116D0"/>
    <w:rsid w:val="45B7290B"/>
    <w:rsid w:val="463E182B"/>
    <w:rsid w:val="48436254"/>
    <w:rsid w:val="4AE3710B"/>
    <w:rsid w:val="4C9E38E9"/>
    <w:rsid w:val="4E4A6294"/>
    <w:rsid w:val="4E5E5B88"/>
    <w:rsid w:val="52F27742"/>
    <w:rsid w:val="54D97601"/>
    <w:rsid w:val="55E868FB"/>
    <w:rsid w:val="588612CD"/>
    <w:rsid w:val="5FF57E2D"/>
    <w:rsid w:val="61456272"/>
    <w:rsid w:val="617843C6"/>
    <w:rsid w:val="628957D0"/>
    <w:rsid w:val="633868F4"/>
    <w:rsid w:val="65157AB2"/>
    <w:rsid w:val="66764CB5"/>
    <w:rsid w:val="66E74F30"/>
    <w:rsid w:val="670B4E50"/>
    <w:rsid w:val="6AFC1988"/>
    <w:rsid w:val="6BED7504"/>
    <w:rsid w:val="6CCF7895"/>
    <w:rsid w:val="6D1C4448"/>
    <w:rsid w:val="6FE57382"/>
    <w:rsid w:val="72A42D36"/>
    <w:rsid w:val="734F4AD3"/>
    <w:rsid w:val="76D40971"/>
    <w:rsid w:val="7A633045"/>
    <w:rsid w:val="7C0A5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4DAE0"/>
  <w15:docId w15:val="{2407F94C-52C4-44C5-A36E-5D3B366C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10">
    <w:name w:val="标题 1 字符"/>
    <w:basedOn w:val="a0"/>
    <w:link w:val="1"/>
    <w:uiPriority w:val="9"/>
    <w:qFormat/>
    <w:rPr>
      <w:b/>
      <w:bCs/>
      <w:kern w:val="44"/>
      <w:sz w:val="44"/>
      <w:szCs w:val="44"/>
    </w:rPr>
  </w:style>
  <w:style w:type="paragraph" w:customStyle="1" w:styleId="13Reference">
    <w:name w:val="13 Reference"/>
    <w:basedOn w:val="a"/>
    <w:qFormat/>
    <w:pPr>
      <w:widowControl/>
      <w:numPr>
        <w:numId w:val="1"/>
      </w:numPr>
      <w:autoSpaceDE w:val="0"/>
      <w:autoSpaceDN w:val="0"/>
      <w:adjustRightInd w:val="0"/>
      <w:spacing w:line="200" w:lineRule="exact"/>
    </w:pPr>
    <w:rPr>
      <w:rFonts w:ascii="Century" w:eastAsia="宋体" w:hAnsi="Century" w:cs="AdvOT9cb306be.B"/>
      <w:spacing w:val="-6"/>
      <w:kern w:val="0"/>
      <w:sz w:val="18"/>
      <w:szCs w:val="18"/>
      <w:lang w:eastAsia="en-US"/>
    </w:rPr>
  </w:style>
  <w:style w:type="paragraph" w:customStyle="1" w:styleId="CAuthor">
    <w:name w:val="CAuthor"/>
    <w:basedOn w:val="a"/>
    <w:next w:val="a"/>
    <w:pPr>
      <w:spacing w:beforeLines="50" w:afterLines="50"/>
      <w:jc w:val="center"/>
    </w:pPr>
    <w:rPr>
      <w:rFonts w:ascii="楷体_GB2312" w:eastAsia="楷体_GB2312" w:hAnsi="Times New Roman" w:cs="Times New Roman"/>
      <w:sz w:val="28"/>
      <w:szCs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132</Words>
  <Characters>753</Characters>
  <Application>Microsoft Office Word</Application>
  <DocSecurity>0</DocSecurity>
  <Lines>6</Lines>
  <Paragraphs>1</Paragraphs>
  <ScaleCrop>false</ScaleCrop>
  <Company>微软中国</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27</cp:revision>
  <dcterms:created xsi:type="dcterms:W3CDTF">2018-07-16T02:16:00Z</dcterms:created>
  <dcterms:modified xsi:type="dcterms:W3CDTF">2023-05-18T23:14:00Z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7780E88BB5534477912027EA24C1BD47</vt:lpwstr>
  </property>
</Properties>
</file>